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F9" w:rsidRPr="00F226F9" w:rsidRDefault="00F226F9" w:rsidP="00F226F9">
      <w:pPr>
        <w:spacing w:line="360" w:lineRule="exact"/>
        <w:ind w:firstLineChars="100" w:firstLine="210"/>
        <w:jc w:val="right"/>
        <w:rPr>
          <w:rFonts w:ascii="ＭＳ 明朝" w:eastAsia="ＭＳ 明朝" w:hAnsi="ＭＳ 明朝" w:cs="Times New Roman"/>
          <w:szCs w:val="21"/>
        </w:rPr>
      </w:pPr>
      <w:bookmarkStart w:id="0" w:name="_GoBack"/>
      <w:bookmarkEnd w:id="0"/>
    </w:p>
    <w:p w:rsidR="00F226F9" w:rsidRPr="00F226F9" w:rsidRDefault="00BC62B0" w:rsidP="00F226F9">
      <w:pPr>
        <w:spacing w:line="360" w:lineRule="exact"/>
        <w:ind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報告</w:t>
      </w:r>
      <w:r w:rsidR="00F226F9" w:rsidRPr="00F226F9">
        <w:rPr>
          <w:rFonts w:ascii="ＭＳ 明朝" w:eastAsia="ＭＳ 明朝" w:hAnsi="ＭＳ 明朝" w:cs="Times New Roman" w:hint="eastAsia"/>
          <w:szCs w:val="21"/>
        </w:rPr>
        <w:t xml:space="preserve"> ３年 池谷 桃子</w:t>
      </w:r>
    </w:p>
    <w:p w:rsidR="00F226F9" w:rsidRPr="00F226F9" w:rsidRDefault="00F226F9" w:rsidP="00F226F9">
      <w:pPr>
        <w:spacing w:line="360" w:lineRule="exact"/>
        <w:ind w:firstLineChars="100" w:firstLine="210"/>
        <w:rPr>
          <w:rFonts w:ascii="ＭＳ 明朝" w:eastAsia="ＭＳ 明朝" w:hAnsi="ＭＳ 明朝" w:cs="Times New Roman"/>
          <w:szCs w:val="21"/>
        </w:rPr>
      </w:pPr>
      <w:r w:rsidRPr="00F226F9">
        <w:rPr>
          <w:rFonts w:ascii="ＭＳ 明朝" w:eastAsia="ＭＳ 明朝" w:hAnsi="ＭＳ 明朝" w:cs="Times New Roman" w:hint="eastAsia"/>
          <w:szCs w:val="21"/>
        </w:rPr>
        <w:t>平成２９年度春季講演会は６月３日（土）鶴見大学会館大ホールに於いて、『川崎市の文化財保護行政と橘樹官衙遺跡群』と題し、講師に川崎市教育委員会事務局生涯学習部文化財課の小柳津貴子氏を迎え開催された。</w:t>
      </w:r>
    </w:p>
    <w:p w:rsidR="00F226F9" w:rsidRPr="00F226F9" w:rsidRDefault="00F226F9" w:rsidP="00F226F9">
      <w:pPr>
        <w:spacing w:line="360" w:lineRule="exact"/>
        <w:rPr>
          <w:rFonts w:ascii="ＭＳ 明朝" w:eastAsia="ＭＳ 明朝" w:hAnsi="ＭＳ 明朝" w:cs="Times New Roman"/>
          <w:szCs w:val="21"/>
        </w:rPr>
      </w:pPr>
      <w:r w:rsidRPr="00F226F9">
        <w:rPr>
          <w:rFonts w:ascii="ＭＳ 明朝" w:eastAsia="ＭＳ 明朝" w:hAnsi="ＭＳ 明朝" w:cs="Times New Roman" w:hint="eastAsia"/>
          <w:szCs w:val="21"/>
        </w:rPr>
        <w:t xml:space="preserve">　川崎市及び川崎市教育委員会では史跡の保存活用に向けた様々な事業を行っており、講演は１.文化財保護行政の仕事とは　２.史跡橘樹官衙遺跡群とは　３.今後にむけて、の３つの項目に分けられ述べられた。</w:t>
      </w:r>
    </w:p>
    <w:p w:rsidR="00F226F9" w:rsidRPr="00F226F9" w:rsidRDefault="00F226F9" w:rsidP="00F226F9">
      <w:pPr>
        <w:spacing w:line="360" w:lineRule="exact"/>
        <w:ind w:firstLineChars="100" w:firstLine="210"/>
        <w:rPr>
          <w:rFonts w:ascii="ＭＳ 明朝" w:eastAsia="ＭＳ 明朝" w:hAnsi="ＭＳ 明朝" w:cs="Times New Roman"/>
          <w:szCs w:val="21"/>
        </w:rPr>
      </w:pPr>
      <w:r w:rsidRPr="00F226F9">
        <w:rPr>
          <w:rFonts w:ascii="ＭＳ 明朝" w:eastAsia="ＭＳ 明朝" w:hAnsi="ＭＳ 明朝" w:cs="Times New Roman" w:hint="eastAsia"/>
          <w:szCs w:val="21"/>
        </w:rPr>
        <w:t>はじめに文化財保護行政の立場から考えなければならないこととして、①文化財はなぜ保護されなければならないのか、②文化財は誰のものなのか、③文化財は保存されていればいいのか、の３つの項目をあげられ説明された。</w:t>
      </w:r>
    </w:p>
    <w:p w:rsidR="00F226F9" w:rsidRPr="00F226F9" w:rsidRDefault="00F226F9" w:rsidP="00F226F9">
      <w:pPr>
        <w:spacing w:line="360" w:lineRule="exact"/>
        <w:rPr>
          <w:rFonts w:ascii="ＭＳ 明朝" w:eastAsia="ＭＳ 明朝" w:hAnsi="ＭＳ 明朝" w:cs="Times New Roman"/>
          <w:szCs w:val="21"/>
        </w:rPr>
      </w:pPr>
      <w:r w:rsidRPr="00F226F9">
        <w:rPr>
          <w:rFonts w:ascii="ＭＳ 明朝" w:eastAsia="ＭＳ 明朝" w:hAnsi="ＭＳ 明朝" w:cs="Times New Roman" w:hint="eastAsia"/>
          <w:szCs w:val="21"/>
        </w:rPr>
        <w:t xml:space="preserve">　文化財に関する仕事や勉強をしている人間には文化財を保存するのは当たり前の話であり、改めて説明する必要性を考えない節があるため、文化財を保護する目的を一般の人に対して十分に説明しているかは問い直しが必要である。</w:t>
      </w:r>
    </w:p>
    <w:p w:rsidR="00F226F9" w:rsidRPr="00F226F9" w:rsidRDefault="00F226F9" w:rsidP="00F226F9">
      <w:pPr>
        <w:spacing w:line="360" w:lineRule="exact"/>
        <w:ind w:firstLineChars="100" w:firstLine="210"/>
        <w:rPr>
          <w:rFonts w:ascii="ＭＳ 明朝" w:eastAsia="ＭＳ 明朝" w:hAnsi="ＭＳ 明朝" w:cs="Times New Roman"/>
          <w:szCs w:val="21"/>
        </w:rPr>
      </w:pPr>
      <w:r w:rsidRPr="00F226F9">
        <w:rPr>
          <w:rFonts w:ascii="ＭＳ 明朝" w:eastAsia="ＭＳ 明朝" w:hAnsi="ＭＳ 明朝" w:cs="Times New Roman" w:hint="eastAsia"/>
          <w:szCs w:val="21"/>
        </w:rPr>
        <w:t>なぜ文化財を保護するのか。文化財は国や地域の歴史・文化を正しく理解する上で必要不可欠であり、豊かな心や感性を育む。また、観光での利用や世界遺産や文化的景観、重要文化財や史跡などを核にしたまちづくりを進めることができる地域が伝統的に守ってきた景観や民俗行事などを共有することでふるさとへの愛着を高めることができ、国民の知的好奇心を満たしていくことで地域経済や社会を活性化させる有力な手段となっている。このようなちからが文化財にはあるので、保存・活用していくことが重要であると考えている。しかし、指定文化財の保存状況の調査に寺社などに伺うと、「文化財は学芸員や専門家だけが取り扱ってよいものであると思われていることもまた事実と感じることがある。</w:t>
      </w:r>
    </w:p>
    <w:p w:rsidR="00F226F9" w:rsidRPr="00F226F9" w:rsidRDefault="00F226F9" w:rsidP="00F226F9">
      <w:pPr>
        <w:spacing w:line="360" w:lineRule="exact"/>
        <w:ind w:firstLineChars="100" w:firstLine="210"/>
        <w:rPr>
          <w:rFonts w:ascii="ＭＳ 明朝" w:eastAsia="ＭＳ 明朝" w:hAnsi="ＭＳ 明朝" w:cs="Times New Roman"/>
          <w:szCs w:val="21"/>
        </w:rPr>
      </w:pPr>
      <w:r w:rsidRPr="00F226F9">
        <w:rPr>
          <w:rFonts w:ascii="ＭＳ 明朝" w:eastAsia="ＭＳ 明朝" w:hAnsi="ＭＳ 明朝" w:cs="Times New Roman" w:hint="eastAsia"/>
          <w:szCs w:val="21"/>
        </w:rPr>
        <w:t>ひたすら保存していくだけでは守れないため、文化財の保護は保存と活用が両論であることを常に意識する必要がある。川崎市文化財保護活用計画では文化財が人をつなぎ、地域を守り育むまちづくりとして①文化財を把握する、②文化財を保護活用する、③文化財の保護活用を推進するための体制整備、④護活用計画の策定、⑤関連文化財群／歴史文化保存活用区域の検討・設定の５つの方針をかかげ、現在取組をおこなっている活用の事例として、普段は保存管理上・宗教上の理由などで非公開の指定文化財を所有者の協力を得て一般に公開する事業、博物館やそのほかの施設での文化財の展示、史跡スタンプラリーの開催や体験教室などがある。一つの文化財について様々な角度から調査し全体としての価値を明らかにすることで、保存と活用が行われ、そのことがさらなる文化財保護の意識の醸成へとつながっていく。</w:t>
      </w:r>
    </w:p>
    <w:p w:rsidR="00F226F9" w:rsidRPr="00F226F9" w:rsidRDefault="00F226F9" w:rsidP="00F226F9">
      <w:pPr>
        <w:spacing w:line="360" w:lineRule="exact"/>
        <w:ind w:firstLineChars="100" w:firstLine="210"/>
        <w:rPr>
          <w:rFonts w:ascii="ＭＳ 明朝" w:eastAsia="ＭＳ 明朝" w:hAnsi="ＭＳ 明朝" w:cs="Times New Roman"/>
          <w:szCs w:val="21"/>
        </w:rPr>
      </w:pPr>
      <w:r w:rsidRPr="00F226F9">
        <w:rPr>
          <w:rFonts w:ascii="ＭＳ 明朝" w:eastAsia="ＭＳ 明朝" w:hAnsi="ＭＳ 明朝" w:cs="Times New Roman" w:hint="eastAsia"/>
          <w:szCs w:val="21"/>
        </w:rPr>
        <w:t>つぎに史跡橘樹官衙遺跡群について述べられた。史跡橘樹官衙遺跡群は、古代の日本における地方行政組織として全国に置かれた郡（</w:t>
      </w:r>
      <w:r w:rsidRPr="00F226F9">
        <w:rPr>
          <w:rFonts w:ascii="ＭＳ 明朝" w:eastAsia="ＭＳ 明朝" w:hAnsi="ＭＳ 明朝" w:cs="Times New Roman"/>
          <w:szCs w:val="21"/>
        </w:rPr>
        <w:ruby>
          <w:rubyPr>
            <w:rubyAlign w:val="distributeSpace"/>
            <w:hps w:val="8"/>
            <w:hpsRaise w:val="18"/>
            <w:hpsBaseText w:val="21"/>
            <w:lid w:val="ja-JP"/>
          </w:rubyPr>
          <w:rt>
            <w:r w:rsidR="00F226F9" w:rsidRPr="00F226F9">
              <w:rPr>
                <w:rFonts w:ascii="ＭＳ 明朝" w:eastAsia="ＭＳ 明朝" w:hAnsi="ＭＳ 明朝" w:cs="Times New Roman" w:hint="eastAsia"/>
                <w:sz w:val="8"/>
                <w:szCs w:val="8"/>
              </w:rPr>
              <w:t>こおり</w:t>
            </w:r>
          </w:rt>
          <w:rubyBase>
            <w:r w:rsidR="00F226F9" w:rsidRPr="00F226F9">
              <w:rPr>
                <w:rFonts w:ascii="ＭＳ 明朝" w:eastAsia="ＭＳ 明朝" w:hAnsi="ＭＳ 明朝" w:cs="Times New Roman" w:hint="eastAsia"/>
                <w:szCs w:val="21"/>
              </w:rPr>
              <w:t>評</w:t>
            </w:r>
          </w:rubyBase>
        </w:ruby>
      </w:r>
      <w:r w:rsidRPr="00F226F9">
        <w:rPr>
          <w:rFonts w:ascii="ＭＳ 明朝" w:eastAsia="ＭＳ 明朝" w:hAnsi="ＭＳ 明朝" w:cs="Times New Roman" w:hint="eastAsia"/>
          <w:szCs w:val="21"/>
        </w:rPr>
        <w:t>）の一つである橘樹郡の役所跡である橘樹郡衙跡と影向寺遺跡からなる。「たちばな」を「橘樹」とした理由は、和同６年の好字令によるもので、地名は漢字２文字で表記することと漢字はできるだけおめでたい字を用いる</w:t>
      </w:r>
      <w:r w:rsidRPr="00F226F9">
        <w:rPr>
          <w:rFonts w:ascii="ＭＳ 明朝" w:eastAsia="ＭＳ 明朝" w:hAnsi="ＭＳ 明朝" w:cs="Times New Roman" w:hint="eastAsia"/>
          <w:szCs w:val="21"/>
        </w:rPr>
        <w:lastRenderedPageBreak/>
        <w:t>ことが定められたこと。それらから末広がりのイメージがある「樹」が用いられ「橘樹」となったのではないか。また、官衙とは役所または官庁の建物という意味があり、橘樹郡に関係する役所・官庁の遺跡ということで遺跡名がつけられている。</w:t>
      </w:r>
    </w:p>
    <w:p w:rsidR="00F226F9" w:rsidRPr="00F226F9" w:rsidRDefault="00F226F9" w:rsidP="00F226F9">
      <w:pPr>
        <w:spacing w:line="360" w:lineRule="exact"/>
        <w:ind w:firstLineChars="100" w:firstLine="210"/>
        <w:rPr>
          <w:rFonts w:ascii="ＭＳ 明朝" w:eastAsia="ＭＳ 明朝" w:hAnsi="ＭＳ 明朝" w:cs="Times New Roman"/>
          <w:szCs w:val="21"/>
        </w:rPr>
      </w:pPr>
      <w:r w:rsidRPr="00F226F9">
        <w:rPr>
          <w:rFonts w:ascii="ＭＳ 明朝" w:eastAsia="ＭＳ 明朝" w:hAnsi="ＭＳ 明朝" w:cs="Times New Roman" w:hint="eastAsia"/>
          <w:szCs w:val="21"/>
        </w:rPr>
        <w:t>影向寺は、現在は天台宗の寺院であり「</w:t>
      </w:r>
      <w:r w:rsidRPr="00F226F9">
        <w:rPr>
          <w:rFonts w:ascii="ＭＳ 明朝" w:eastAsia="ＭＳ 明朝" w:hAnsi="ＭＳ 明朝" w:cs="Times New Roman"/>
          <w:szCs w:val="21"/>
        </w:rPr>
        <w:ruby>
          <w:rubyPr>
            <w:rubyAlign w:val="distributeSpace"/>
            <w:hps w:val="10"/>
            <w:hpsRaise w:val="18"/>
            <w:hpsBaseText w:val="21"/>
            <w:lid w:val="ja-JP"/>
          </w:rubyPr>
          <w:rt>
            <w:r w:rsidR="00F226F9" w:rsidRPr="00F226F9">
              <w:rPr>
                <w:rFonts w:ascii="ＭＳ 明朝" w:eastAsia="ＭＳ 明朝" w:hAnsi="ＭＳ 明朝" w:cs="Times New Roman" w:hint="eastAsia"/>
                <w:sz w:val="10"/>
                <w:szCs w:val="10"/>
              </w:rPr>
              <w:t>むさしのくにえはらのこおり</w:t>
            </w:r>
          </w:rt>
          <w:rubyBase>
            <w:r w:rsidR="00F226F9" w:rsidRPr="00F226F9">
              <w:rPr>
                <w:rFonts w:ascii="ＭＳ 明朝" w:eastAsia="ＭＳ 明朝" w:hAnsi="ＭＳ 明朝" w:cs="Times New Roman" w:hint="eastAsia"/>
                <w:szCs w:val="21"/>
              </w:rPr>
              <w:t>无射志国荏原評</w:t>
            </w:r>
          </w:rubyBase>
        </w:ruby>
      </w:r>
      <w:r w:rsidRPr="00F226F9">
        <w:rPr>
          <w:rFonts w:ascii="ＭＳ 明朝" w:eastAsia="ＭＳ 明朝" w:hAnsi="ＭＳ 明朝" w:cs="Times New Roman"/>
          <w:szCs w:val="21"/>
        </w:rPr>
        <w:ruby>
          <w:rubyPr>
            <w:rubyAlign w:val="distributeSpace"/>
            <w:hps w:val="10"/>
            <w:hpsRaise w:val="18"/>
            <w:hpsBaseText w:val="21"/>
            <w:lid w:val="ja-JP"/>
          </w:rubyPr>
          <w:rt>
            <w:r w:rsidR="00F226F9" w:rsidRPr="00F226F9">
              <w:rPr>
                <w:rFonts w:ascii="ＭＳ 明朝" w:eastAsia="ＭＳ 明朝" w:hAnsi="ＭＳ 明朝" w:cs="Times New Roman" w:hint="eastAsia"/>
                <w:sz w:val="10"/>
                <w:szCs w:val="10"/>
              </w:rPr>
              <w:t>めい</w:t>
            </w:r>
          </w:rt>
          <w:rubyBase>
            <w:r w:rsidR="00F226F9" w:rsidRPr="00F226F9">
              <w:rPr>
                <w:rFonts w:ascii="ＭＳ 明朝" w:eastAsia="ＭＳ 明朝" w:hAnsi="ＭＳ 明朝" w:cs="Times New Roman" w:hint="eastAsia"/>
                <w:szCs w:val="21"/>
              </w:rPr>
              <w:t>銘</w:t>
            </w:r>
          </w:rubyBase>
        </w:ruby>
      </w:r>
      <w:r w:rsidRPr="00F226F9">
        <w:rPr>
          <w:rFonts w:ascii="ＭＳ 明朝" w:eastAsia="ＭＳ 明朝" w:hAnsi="ＭＳ 明朝" w:cs="Times New Roman"/>
          <w:szCs w:val="21"/>
        </w:rPr>
        <w:ruby>
          <w:rubyPr>
            <w:rubyAlign w:val="distributeSpace"/>
            <w:hps w:val="10"/>
            <w:hpsRaise w:val="18"/>
            <w:hpsBaseText w:val="21"/>
            <w:lid w:val="ja-JP"/>
          </w:rubyPr>
          <w:rt>
            <w:r w:rsidR="00F226F9" w:rsidRPr="00F226F9">
              <w:rPr>
                <w:rFonts w:ascii="ＭＳ 明朝" w:eastAsia="ＭＳ 明朝" w:hAnsi="ＭＳ 明朝" w:cs="Times New Roman" w:hint="eastAsia"/>
                <w:sz w:val="10"/>
                <w:szCs w:val="10"/>
              </w:rPr>
              <w:t>もじ</w:t>
            </w:r>
          </w:rt>
          <w:rubyBase>
            <w:r w:rsidR="00F226F9" w:rsidRPr="00F226F9">
              <w:rPr>
                <w:rFonts w:ascii="ＭＳ 明朝" w:eastAsia="ＭＳ 明朝" w:hAnsi="ＭＳ 明朝" w:cs="Times New Roman" w:hint="eastAsia"/>
                <w:szCs w:val="21"/>
              </w:rPr>
              <w:t>文字</w:t>
            </w:r>
          </w:rubyBase>
        </w:ruby>
      </w:r>
      <w:r w:rsidRPr="00F226F9">
        <w:rPr>
          <w:rFonts w:ascii="ＭＳ 明朝" w:eastAsia="ＭＳ 明朝" w:hAnsi="ＭＳ 明朝" w:cs="Times New Roman"/>
          <w:szCs w:val="21"/>
        </w:rPr>
        <w:ruby>
          <w:rubyPr>
            <w:rubyAlign w:val="distributeSpace"/>
            <w:hps w:val="10"/>
            <w:hpsRaise w:val="18"/>
            <w:hpsBaseText w:val="21"/>
            <w:lid w:val="ja-JP"/>
          </w:rubyPr>
          <w:rt>
            <w:r w:rsidR="00F226F9" w:rsidRPr="00F226F9">
              <w:rPr>
                <w:rFonts w:ascii="ＭＳ 明朝" w:eastAsia="ＭＳ 明朝" w:hAnsi="ＭＳ 明朝" w:cs="Times New Roman" w:hint="eastAsia"/>
                <w:sz w:val="10"/>
                <w:szCs w:val="10"/>
              </w:rPr>
              <w:t>かわら</w:t>
            </w:r>
          </w:rt>
          <w:rubyBase>
            <w:r w:rsidR="00F226F9" w:rsidRPr="00F226F9">
              <w:rPr>
                <w:rFonts w:ascii="ＭＳ 明朝" w:eastAsia="ＭＳ 明朝" w:hAnsi="ＭＳ 明朝" w:cs="Times New Roman" w:hint="eastAsia"/>
                <w:szCs w:val="21"/>
              </w:rPr>
              <w:t>瓦</w:t>
            </w:r>
          </w:rubyBase>
        </w:ruby>
      </w:r>
      <w:r w:rsidRPr="00F226F9">
        <w:rPr>
          <w:rFonts w:ascii="ＭＳ 明朝" w:eastAsia="ＭＳ 明朝" w:hAnsi="ＭＳ 明朝" w:cs="Times New Roman" w:hint="eastAsia"/>
          <w:szCs w:val="21"/>
        </w:rPr>
        <w:t>」から７世紀末には寺院が造営されていたことが明らかになった。さらに下層の影向寺遺跡からは、寺院創建以前の掘立柱建物２棟も発見されている。寺院遺構としては、総地業の建物遺跡、塔跡のほか、竪穴建物などが発見された。</w:t>
      </w:r>
    </w:p>
    <w:p w:rsidR="00F226F9" w:rsidRPr="00F226F9" w:rsidRDefault="00F226F9" w:rsidP="00F226F9">
      <w:pPr>
        <w:spacing w:line="360" w:lineRule="exact"/>
        <w:ind w:firstLineChars="100" w:firstLine="210"/>
        <w:rPr>
          <w:rFonts w:ascii="ＭＳ 明朝" w:eastAsia="ＭＳ 明朝" w:hAnsi="ＭＳ 明朝" w:cs="Times New Roman"/>
          <w:szCs w:val="21"/>
        </w:rPr>
      </w:pPr>
      <w:r w:rsidRPr="00F226F9">
        <w:rPr>
          <w:rFonts w:ascii="ＭＳ 明朝" w:eastAsia="ＭＳ 明朝" w:hAnsi="ＭＳ 明朝" w:cs="Times New Roman" w:hint="eastAsia"/>
          <w:szCs w:val="21"/>
        </w:rPr>
        <w:t>この２つの遺構は古代地方行政組織と寺院との密接な関係性を示すとともに、地方官衙の成立から廃絶に至る経過をたどることができる希有な遺跡である。その成立の背景や構造の変化の過程も判明するなど、７世紀から１０世紀にかけての地方官衙の実態とその推移を知る上で価値が高い。日本の歴史を解明する上で重要な遺跡であるとして平成２７年３月１０日に橘樹官衙遺跡群として国史跡に指定されたのである。</w:t>
      </w:r>
    </w:p>
    <w:p w:rsidR="00F226F9" w:rsidRPr="00F226F9" w:rsidRDefault="00F226F9" w:rsidP="00F226F9">
      <w:pPr>
        <w:spacing w:line="360" w:lineRule="exact"/>
        <w:ind w:firstLineChars="100" w:firstLine="210"/>
        <w:rPr>
          <w:rFonts w:ascii="ＭＳ 明朝" w:eastAsia="ＭＳ 明朝" w:hAnsi="ＭＳ 明朝" w:cs="Times New Roman"/>
          <w:szCs w:val="21"/>
        </w:rPr>
      </w:pPr>
      <w:r w:rsidRPr="00F226F9">
        <w:rPr>
          <w:rFonts w:ascii="ＭＳ 明朝" w:eastAsia="ＭＳ 明朝" w:hAnsi="ＭＳ 明朝" w:cs="Times New Roman" w:hint="eastAsia"/>
          <w:szCs w:val="21"/>
        </w:rPr>
        <w:t>最後に、今後にむけて２つの項目を述べられた。ひとつは保存活用計画の策定である。観光資源としての遺跡、周辺に住んでいる住民にとってかけがえのないもの、愛される遺跡・史跡となるよう、史跡の本質的価値を良好に保存していく。そして地域の歴史・文化・自然を知り社会の活性・発展に寄与する場として、豊かで多彩な公開・活用の促進をめざし、適切な手法のもとに整備する。そのため現在、指定地にかかる保存・活用・整備の基本方針や現状変更の取り扱い基準などの具体的な方法をまとめた行政計画を策定中である。</w:t>
      </w:r>
    </w:p>
    <w:p w:rsidR="00F226F9" w:rsidRPr="00F226F9" w:rsidRDefault="00F226F9" w:rsidP="00F226F9">
      <w:pPr>
        <w:spacing w:line="360" w:lineRule="exact"/>
        <w:ind w:firstLineChars="100" w:firstLine="210"/>
        <w:rPr>
          <w:rFonts w:ascii="ＭＳ 明朝" w:eastAsia="ＭＳ 明朝" w:hAnsi="ＭＳ 明朝" w:cs="Times New Roman"/>
          <w:szCs w:val="21"/>
        </w:rPr>
      </w:pPr>
      <w:r w:rsidRPr="00F226F9">
        <w:rPr>
          <w:rFonts w:ascii="ＭＳ 明朝" w:eastAsia="ＭＳ 明朝" w:hAnsi="ＭＳ 明朝" w:cs="Times New Roman" w:hint="eastAsia"/>
          <w:szCs w:val="21"/>
        </w:rPr>
        <w:t>もうひとつは整備計画の策定である。保存活用計画に基づき、専門家の意見を得ながら、どのような整備を行っていくか十分に議論し、また保存目的整備と活用目的整備をどのように切り分けていくのかが課題である。</w:t>
      </w:r>
    </w:p>
    <w:p w:rsidR="00F226F9" w:rsidRPr="00F226F9" w:rsidRDefault="00F226F9" w:rsidP="00F226F9">
      <w:pPr>
        <w:spacing w:line="360" w:lineRule="exact"/>
        <w:ind w:firstLineChars="100" w:firstLine="210"/>
        <w:rPr>
          <w:rFonts w:ascii="ＭＳ 明朝" w:eastAsia="ＭＳ 明朝" w:hAnsi="ＭＳ 明朝" w:cs="Times New Roman"/>
          <w:szCs w:val="21"/>
        </w:rPr>
      </w:pPr>
      <w:r w:rsidRPr="00F226F9">
        <w:rPr>
          <w:rFonts w:ascii="ＭＳ 明朝" w:eastAsia="ＭＳ 明朝" w:hAnsi="ＭＳ 明朝" w:cs="Times New Roman" w:hint="eastAsia"/>
          <w:szCs w:val="21"/>
        </w:rPr>
        <w:t>橘樹官衙遺跡群は未だ全体像が把握できておらず、都市開発が急激に進むなかでの史跡の保存活用を急いで決定しなくてはならず、計画の策定や史跡整備には、市役所内外の多くの人々との協議や調整が必要であると述べられた。</w:t>
      </w:r>
    </w:p>
    <w:p w:rsidR="00F226F9" w:rsidRPr="00F226F9" w:rsidRDefault="00F226F9" w:rsidP="00F226F9">
      <w:pPr>
        <w:spacing w:line="360" w:lineRule="exact"/>
        <w:rPr>
          <w:rFonts w:ascii="ＭＳ 明朝" w:eastAsia="ＭＳ 明朝" w:hAnsi="ＭＳ 明朝" w:cs="Times New Roman"/>
          <w:szCs w:val="21"/>
        </w:rPr>
      </w:pPr>
      <w:r w:rsidRPr="00F226F9">
        <w:rPr>
          <w:rFonts w:ascii="ＭＳ 明朝" w:eastAsia="ＭＳ 明朝" w:hAnsi="ＭＳ 明朝" w:cs="Times New Roman" w:hint="eastAsia"/>
          <w:szCs w:val="21"/>
        </w:rPr>
        <w:t xml:space="preserve">　講演終了後、質疑応答が行われ活発な意見が交わされた。</w:t>
      </w:r>
    </w:p>
    <w:p w:rsidR="00F226F9" w:rsidRPr="00F226F9" w:rsidRDefault="00F226F9" w:rsidP="00F226F9">
      <w:pPr>
        <w:spacing w:line="360" w:lineRule="exact"/>
        <w:jc w:val="right"/>
        <w:rPr>
          <w:rFonts w:ascii="ＭＳ 明朝" w:eastAsia="ＭＳ 明朝" w:hAnsi="ＭＳ 明朝" w:cs="Times New Roman"/>
          <w:szCs w:val="21"/>
        </w:rPr>
      </w:pPr>
      <w:r w:rsidRPr="00F226F9">
        <w:rPr>
          <w:rFonts w:ascii="ＭＳ 明朝" w:eastAsia="ＭＳ 明朝" w:hAnsi="ＭＳ 明朝" w:cs="Times New Roman" w:hint="eastAsia"/>
          <w:szCs w:val="21"/>
        </w:rPr>
        <w:t>（２１７６字）</w:t>
      </w:r>
    </w:p>
    <w:p w:rsidR="007F76F1" w:rsidRDefault="007F76F1"/>
    <w:sectPr w:rsidR="007F76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EE" w:rsidRDefault="00C164EE" w:rsidP="00BC62B0">
      <w:r>
        <w:separator/>
      </w:r>
    </w:p>
  </w:endnote>
  <w:endnote w:type="continuationSeparator" w:id="0">
    <w:p w:rsidR="00C164EE" w:rsidRDefault="00C164EE" w:rsidP="00B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EE" w:rsidRDefault="00C164EE" w:rsidP="00BC62B0">
      <w:r>
        <w:separator/>
      </w:r>
    </w:p>
  </w:footnote>
  <w:footnote w:type="continuationSeparator" w:id="0">
    <w:p w:rsidR="00C164EE" w:rsidRDefault="00C164EE" w:rsidP="00BC6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F9"/>
    <w:rsid w:val="007F76F1"/>
    <w:rsid w:val="00BC62B0"/>
    <w:rsid w:val="00C164EE"/>
    <w:rsid w:val="00F226F9"/>
    <w:rsid w:val="00FA1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7D1B6C-9770-4D56-9CB1-D0E7300C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2B0"/>
    <w:pPr>
      <w:tabs>
        <w:tab w:val="center" w:pos="4252"/>
        <w:tab w:val="right" w:pos="8504"/>
      </w:tabs>
      <w:snapToGrid w:val="0"/>
    </w:pPr>
  </w:style>
  <w:style w:type="character" w:customStyle="1" w:styleId="a4">
    <w:name w:val="ヘッダー (文字)"/>
    <w:basedOn w:val="a0"/>
    <w:link w:val="a3"/>
    <w:uiPriority w:val="99"/>
    <w:rsid w:val="00BC62B0"/>
  </w:style>
  <w:style w:type="paragraph" w:styleId="a5">
    <w:name w:val="footer"/>
    <w:basedOn w:val="a"/>
    <w:link w:val="a6"/>
    <w:uiPriority w:val="99"/>
    <w:unhideWhenUsed/>
    <w:rsid w:val="00BC62B0"/>
    <w:pPr>
      <w:tabs>
        <w:tab w:val="center" w:pos="4252"/>
        <w:tab w:val="right" w:pos="8504"/>
      </w:tabs>
      <w:snapToGrid w:val="0"/>
    </w:pPr>
  </w:style>
  <w:style w:type="character" w:customStyle="1" w:styleId="a6">
    <w:name w:val="フッター (文字)"/>
    <w:basedOn w:val="a0"/>
    <w:link w:val="a5"/>
    <w:uiPriority w:val="99"/>
    <w:rsid w:val="00BC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池谷桃子</dc:creator>
  <cp:keywords/>
  <dc:description/>
  <cp:lastModifiedBy>池谷桃子</cp:lastModifiedBy>
  <cp:revision>3</cp:revision>
  <dcterms:created xsi:type="dcterms:W3CDTF">2017-10-12T09:47:00Z</dcterms:created>
  <dcterms:modified xsi:type="dcterms:W3CDTF">2017-10-12T09:48:00Z</dcterms:modified>
</cp:coreProperties>
</file>